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BD" w:rsidRPr="003A4CBD" w:rsidRDefault="003A4CBD" w:rsidP="003A4CB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E5275"/>
          <w:kern w:val="36"/>
          <w:sz w:val="30"/>
          <w:szCs w:val="30"/>
        </w:rPr>
      </w:pPr>
      <w:bookmarkStart w:id="0" w:name="_GoBack"/>
      <w:proofErr w:type="spellStart"/>
      <w:r w:rsidRPr="003A4CBD">
        <w:rPr>
          <w:rFonts w:ascii="Arial" w:eastAsia="Times New Roman" w:hAnsi="Arial" w:cs="Arial"/>
          <w:color w:val="2E5275"/>
          <w:kern w:val="36"/>
          <w:sz w:val="30"/>
          <w:szCs w:val="30"/>
        </w:rPr>
        <w:t>Памятка</w:t>
      </w:r>
      <w:proofErr w:type="spellEnd"/>
      <w:r w:rsidRPr="003A4CBD">
        <w:rPr>
          <w:rFonts w:ascii="Arial" w:eastAsia="Times New Roman" w:hAnsi="Arial" w:cs="Arial"/>
          <w:color w:val="2E5275"/>
          <w:kern w:val="36"/>
          <w:sz w:val="30"/>
          <w:szCs w:val="30"/>
        </w:rPr>
        <w:t xml:space="preserve"> </w:t>
      </w:r>
      <w:proofErr w:type="spellStart"/>
      <w:r w:rsidRPr="003A4CBD">
        <w:rPr>
          <w:rFonts w:ascii="Arial" w:eastAsia="Times New Roman" w:hAnsi="Arial" w:cs="Arial"/>
          <w:color w:val="2E5275"/>
          <w:kern w:val="36"/>
          <w:sz w:val="30"/>
          <w:szCs w:val="30"/>
        </w:rPr>
        <w:t>налогообязанного</w:t>
      </w:r>
      <w:proofErr w:type="spellEnd"/>
      <w:r w:rsidRPr="003A4CBD">
        <w:rPr>
          <w:rFonts w:ascii="Arial" w:eastAsia="Times New Roman" w:hAnsi="Arial" w:cs="Arial"/>
          <w:color w:val="2E5275"/>
          <w:kern w:val="36"/>
          <w:sz w:val="30"/>
          <w:szCs w:val="30"/>
        </w:rPr>
        <w:t xml:space="preserve"> </w:t>
      </w:r>
      <w:proofErr w:type="spellStart"/>
      <w:r w:rsidRPr="003A4CBD">
        <w:rPr>
          <w:rFonts w:ascii="Arial" w:eastAsia="Times New Roman" w:hAnsi="Arial" w:cs="Arial"/>
          <w:color w:val="2E5275"/>
          <w:kern w:val="36"/>
          <w:sz w:val="30"/>
          <w:szCs w:val="30"/>
        </w:rPr>
        <w:t>лица</w:t>
      </w:r>
      <w:bookmarkEnd w:id="0"/>
      <w:proofErr w:type="spellEnd"/>
    </w:p>
    <w:p w:rsidR="003A4CBD" w:rsidRPr="003A4CBD" w:rsidRDefault="003A4CBD" w:rsidP="003A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CB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555" stroked="f"/>
        </w:pic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В руководстве найдете первичную информацию о важных датах для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налогообязанного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оборота, советы по представлению деклараций </w:t>
      </w:r>
    </w:p>
    <w:p w:rsidR="003A4CBD" w:rsidRPr="003A4CBD" w:rsidRDefault="003A4CBD" w:rsidP="003A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CB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555" stroked="f"/>
        </w:pic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Лицо, обязанное по налогу с оборота (далее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налогообязанное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лицо), вправе из своей обязанности по налогу с оборота вычитать подлежащий уплате налог с оборота (входной налог с оборота) с товаров и услуг, купленных для нужд налогооблагаемого оборота в этот же период налогообложения.</w: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Если предпринимательство отсутствует или если товары и услуги были приобретены для нужд необлагаемого налогом оборота, то вычитать входной налог с оборота нельзя.</w: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br/>
      </w:r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  <w:lang w:val="ru-RU"/>
        </w:rPr>
        <w:t>Обязанности</w:t>
      </w:r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 </w:t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  <w:lang w:val="ru-RU"/>
        </w:rPr>
        <w:t>налогообязанного</w:t>
      </w:r>
      <w:proofErr w:type="spellEnd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  <w:lang w:val="ru-RU"/>
        </w:rPr>
        <w:t xml:space="preserve"> лица</w:t>
      </w:r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 </w: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Со дня регистрации Вы должны выполнять </w:t>
      </w:r>
      <w:proofErr w:type="gramStart"/>
      <w:r w:rsidRPr="003A4CBD">
        <w:rPr>
          <w:rFonts w:ascii="Arial" w:eastAsia="Times New Roman" w:hAnsi="Arial" w:cs="Arial"/>
          <w:color w:val="555555"/>
          <w:sz w:val="18"/>
          <w:szCs w:val="18"/>
        </w:rPr>
        <w:t>o</w:t>
      </w:r>
      <w:proofErr w:type="spellStart"/>
      <w:proofErr w:type="gram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бязанности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налогообязанного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лица, в том числе:</w:t>
      </w:r>
    </w:p>
    <w:p w:rsidR="003A4CBD" w:rsidRPr="003A4CBD" w:rsidRDefault="003A4CBD" w:rsidP="003A4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добавлять налог с оборота к налогооблагаемой стоимости отчуждаемого товара или оказываемой услуги;</w:t>
      </w:r>
    </w:p>
    <w:p w:rsidR="003A4CBD" w:rsidRPr="003A4CBD" w:rsidRDefault="003A4CBD" w:rsidP="003A4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представлять счета, соответствующие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уставноленным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в статье 37 Закона о налоге с оборота требованиям;</w:t>
      </w:r>
    </w:p>
    <w:p w:rsidR="003A4CBD" w:rsidRPr="003A4CBD" w:rsidRDefault="003A4CBD" w:rsidP="003A4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сохранять документы и вести учёт;</w:t>
      </w:r>
    </w:p>
    <w:p w:rsidR="003A4CBD" w:rsidRPr="003A4CBD" w:rsidRDefault="003A4CBD" w:rsidP="003A4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высчитывать сумму налога с оборота, подлежащую уплате, а также оплачивать налог с оборота.</w: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r w:rsidRPr="003A4CBD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br/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Налоговый</w:t>
      </w:r>
      <w:proofErr w:type="spellEnd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 xml:space="preserve"> </w:t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календарь</w:t>
      </w:r>
      <w:proofErr w:type="spellEnd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 xml:space="preserve"> </w:t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налогообязанного</w:t>
      </w:r>
      <w:proofErr w:type="spellEnd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 xml:space="preserve"> </w:t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лица</w:t>
      </w:r>
      <w:proofErr w:type="spellEnd"/>
    </w:p>
    <w:tbl>
      <w:tblPr>
        <w:tblW w:w="11355" w:type="dxa"/>
        <w:tblInd w:w="-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4275"/>
        <w:gridCol w:w="4112"/>
      </w:tblGrid>
      <w:tr w:rsidR="003A4CBD" w:rsidRPr="003A4CBD" w:rsidTr="003A4CBD">
        <w:tc>
          <w:tcPr>
            <w:tcW w:w="29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4275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Обязанность</w:t>
            </w:r>
            <w:proofErr w:type="spellEnd"/>
          </w:p>
        </w:tc>
        <w:tc>
          <w:tcPr>
            <w:tcW w:w="411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Кто</w:t>
            </w:r>
            <w:proofErr w:type="spellEnd"/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представляет</w:t>
            </w:r>
            <w:proofErr w:type="spellEnd"/>
          </w:p>
        </w:tc>
      </w:tr>
      <w:tr w:rsidR="003A4CBD" w:rsidRPr="003A4CBD" w:rsidTr="003A4CBD">
        <w:tc>
          <w:tcPr>
            <w:tcW w:w="29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20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число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каждого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месяца</w:t>
            </w:r>
            <w:proofErr w:type="spellEnd"/>
          </w:p>
        </w:tc>
        <w:tc>
          <w:tcPr>
            <w:tcW w:w="4275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Подача декларации по налогу с оборота (форма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KMD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) и приложения к декларации по налогу с оборота (</w:t>
            </w:r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lang w:val="ru-RU"/>
              </w:rPr>
              <w:t xml:space="preserve">форма </w:t>
            </w:r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KMD</w:t>
            </w:r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lang w:val="ru-RU"/>
              </w:rPr>
              <w:t xml:space="preserve"> </w:t>
            </w:r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INF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)</w:t>
            </w:r>
          </w:p>
          <w:p w:rsidR="003A4CBD" w:rsidRPr="003A4CBD" w:rsidRDefault="003A4CBD" w:rsidP="003A4C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Уплата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налога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с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оборота</w:t>
            </w:r>
            <w:proofErr w:type="spellEnd"/>
          </w:p>
        </w:tc>
        <w:tc>
          <w:tcPr>
            <w:tcW w:w="411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Все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налогообязанные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лица</w:t>
            </w:r>
            <w:proofErr w:type="spellEnd"/>
          </w:p>
        </w:tc>
      </w:tr>
      <w:tr w:rsidR="003A4CBD" w:rsidRPr="003A4CBD" w:rsidTr="003A4CBD">
        <w:tc>
          <w:tcPr>
            <w:tcW w:w="29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20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число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каждого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месяца</w:t>
            </w:r>
            <w:proofErr w:type="spellEnd"/>
          </w:p>
        </w:tc>
        <w:tc>
          <w:tcPr>
            <w:tcW w:w="4275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Подача отчёта о внутрисоюзном товарообороте (форма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VD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)</w:t>
            </w:r>
          </w:p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411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Налогообязанные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лица, которые продают товары или оказывают услуги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налогообязанным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лицам, находящимся в других странах Европейского союза</w:t>
            </w:r>
          </w:p>
        </w:tc>
      </w:tr>
      <w:tr w:rsidR="003A4CBD" w:rsidRPr="003A4CBD" w:rsidTr="003A4CBD">
        <w:tc>
          <w:tcPr>
            <w:tcW w:w="29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3A4CBD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10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число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каждого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месяца</w:t>
            </w:r>
            <w:proofErr w:type="spellEnd"/>
          </w:p>
        </w:tc>
        <w:tc>
          <w:tcPr>
            <w:tcW w:w="4275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Подача декларации по подоходному и социальному налогам, а также платежам по обязательной накопительной пенсии и страхованию от безработицы (форма</w:t>
            </w:r>
            <w:proofErr w:type="gramStart"/>
            <w:r w:rsidRPr="003A4CBD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TSD</w:t>
            </w:r>
            <w:proofErr w:type="gram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).</w:t>
            </w:r>
          </w:p>
          <w:p w:rsidR="003A4CBD" w:rsidRPr="003A4CBD" w:rsidRDefault="003A4CBD" w:rsidP="003A4CB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Уплата налогов и платежей на основании декларации </w:t>
            </w:r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TSD</w:t>
            </w:r>
          </w:p>
        </w:tc>
        <w:tc>
          <w:tcPr>
            <w:tcW w:w="411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A4CBD" w:rsidRPr="003A4CBD" w:rsidRDefault="003A4CBD" w:rsidP="003A4CBD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Все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налогообязанные</w:t>
            </w:r>
            <w:proofErr w:type="spellEnd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3A4CBD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лицa</w:t>
            </w:r>
            <w:proofErr w:type="spellEnd"/>
          </w:p>
        </w:tc>
      </w:tr>
    </w:tbl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Если срок, предусмотренный для выполнения обязанности, выпадает на государственный праздник или иной выходной день, то сроком считается первый рабочий день, следующий за этим выходным днём.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lastRenderedPageBreak/>
        <w:t xml:space="preserve">Налогово-таможенный департамент оповещает ежемесячно по электронной почте всех новых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налогообязанных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лиц в течение шести месяцев после регистрации о сроках подачи деклараций по обороту и подоходному налогу (форма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 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и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TSD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).</w:t>
      </w:r>
    </w:p>
    <w:p w:rsidR="003A4CBD" w:rsidRPr="003A4CBD" w:rsidRDefault="003A4CBD" w:rsidP="003A4CBD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r w:rsidRPr="003A4CBD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br/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Подача</w:t>
      </w:r>
      <w:proofErr w:type="spellEnd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 xml:space="preserve"> </w:t>
      </w:r>
      <w:proofErr w:type="spellStart"/>
      <w:r w:rsidRPr="003A4CBD">
        <w:rPr>
          <w:rFonts w:ascii="Arial" w:eastAsia="Times New Roman" w:hAnsi="Arial" w:cs="Arial"/>
          <w:b/>
          <w:bCs/>
          <w:color w:val="6D8FD5"/>
          <w:sz w:val="21"/>
          <w:szCs w:val="21"/>
        </w:rPr>
        <w:t>деклараций</w:t>
      </w:r>
      <w:proofErr w:type="spellEnd"/>
    </w:p>
    <w:p w:rsidR="003A4CBD" w:rsidRPr="003A4CBD" w:rsidRDefault="003A4CBD" w:rsidP="003A4C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Периодом налогообложения налогом с оборота является календарный месяц.</w:t>
      </w:r>
    </w:p>
    <w:p w:rsidR="003A4CBD" w:rsidRPr="003A4CBD" w:rsidRDefault="003A4CBD" w:rsidP="003A4C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Если количество календарных дней первого периода налогообложения меньше 15 (например, если Вы зарегистрированы в качестве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налогообязанного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лица с 18 числа), то оборот первого периода можно декларировать вместе с оборотом следующего периода налогообложения, представив одну декларацию по обороту за оба периода налогообложения.</w:t>
      </w:r>
    </w:p>
    <w:p w:rsidR="003A4CBD" w:rsidRPr="003A4CBD" w:rsidRDefault="003A4CBD" w:rsidP="003A4C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Все декларации можно подавать в электронном виде через электронную среду Налогово-таможенного департамента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(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e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-</w:t>
      </w:r>
      <w:proofErr w:type="spellStart"/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maksuamet</w:t>
      </w:r>
      <w:proofErr w:type="spellEnd"/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/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e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-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toll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).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Декларацию по налогу с оборота (форма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) и приложение к ней (форма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 xml:space="preserve"> 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INF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) на бумажном носителе разрешается подавать только лицам, которые являются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налогообязанными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менее 12 месяцев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и в приложении к декларации по налогу с оборота декларируют не больше 5 счетов. Лица, которые являются </w:t>
      </w:r>
      <w:proofErr w:type="spellStart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налогообязанными</w:t>
      </w:r>
      <w:proofErr w:type="spellEnd"/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более 12 месяцев и/или декларируют в приложении к декларации по налогу с оборота больше 5 счетов, могут подавать декларацию по обороту на бумажном носителе только на основании представленного в Налогово-таможенный департамент мотивированного ходатайства.</w:t>
      </w:r>
    </w:p>
    <w:p w:rsidR="003A4CBD" w:rsidRPr="003A4CBD" w:rsidRDefault="003A4CBD" w:rsidP="003A4C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Декларацию по подоходному и социальному налогам, а также платежам по обязательной накопительной пенсии и страхованию от безработицы (форма</w:t>
      </w:r>
      <w:r w:rsidRPr="003A4CBD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3A4CBD">
        <w:rPr>
          <w:rFonts w:ascii="Arial" w:eastAsia="Times New Roman" w:hAnsi="Arial" w:cs="Arial"/>
          <w:i/>
          <w:iCs/>
          <w:color w:val="555555"/>
          <w:sz w:val="18"/>
          <w:szCs w:val="18"/>
        </w:rPr>
        <w:t>TSD</w:t>
      </w:r>
      <w:r w:rsidRPr="003A4CBD">
        <w:rPr>
          <w:rFonts w:ascii="Arial" w:eastAsia="Times New Roman" w:hAnsi="Arial" w:cs="Arial"/>
          <w:color w:val="555555"/>
          <w:sz w:val="18"/>
          <w:szCs w:val="18"/>
          <w:lang w:val="ru-RU"/>
        </w:rPr>
        <w:t>) на бумажном носителе разрешается подавать только в случае, если в приложении 1 к этой декларации заполнено 5 строк и менее, т.е. декларируется 5 получателей выплат и менее.</w:t>
      </w:r>
    </w:p>
    <w:p w:rsidR="001A72F3" w:rsidRPr="003A4CBD" w:rsidRDefault="001A72F3">
      <w:pPr>
        <w:rPr>
          <w:lang w:val="ru-RU"/>
        </w:rPr>
      </w:pPr>
    </w:p>
    <w:sectPr w:rsidR="001A72F3" w:rsidRPr="003A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0F44"/>
    <w:multiLevelType w:val="multilevel"/>
    <w:tmpl w:val="D160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17F8A"/>
    <w:multiLevelType w:val="multilevel"/>
    <w:tmpl w:val="70C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642BD"/>
    <w:multiLevelType w:val="multilevel"/>
    <w:tmpl w:val="195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8346F9"/>
    <w:multiLevelType w:val="multilevel"/>
    <w:tmpl w:val="E72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22752"/>
    <w:multiLevelType w:val="multilevel"/>
    <w:tmpl w:val="825E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BD"/>
    <w:rsid w:val="001A72F3"/>
    <w:rsid w:val="003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</dc:creator>
  <cp:lastModifiedBy>Feliks</cp:lastModifiedBy>
  <cp:revision>1</cp:revision>
  <dcterms:created xsi:type="dcterms:W3CDTF">2015-04-20T13:23:00Z</dcterms:created>
  <dcterms:modified xsi:type="dcterms:W3CDTF">2015-04-20T13:25:00Z</dcterms:modified>
</cp:coreProperties>
</file>